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7" w:rsidRDefault="00984247"/>
    <w:p w:rsidR="00984247" w:rsidRDefault="00984247"/>
    <w:p w:rsidR="00AA074B" w:rsidRDefault="00AA074B"/>
    <w:p w:rsidR="00984247" w:rsidRDefault="00AA074B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3350260" cy="19494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247" w:rsidRPr="00984247" w:rsidRDefault="00984247">
      <w:pPr>
        <w:rPr>
          <w:b/>
          <w:bCs/>
          <w:sz w:val="32"/>
          <w:szCs w:val="32"/>
        </w:rPr>
      </w:pPr>
    </w:p>
    <w:p w:rsidR="00984247" w:rsidRPr="005A0B0A" w:rsidRDefault="00984247" w:rsidP="00984247">
      <w:pPr>
        <w:spacing w:after="0"/>
        <w:jc w:val="center"/>
        <w:rPr>
          <w:b/>
          <w:bCs/>
          <w:sz w:val="36"/>
          <w:szCs w:val="36"/>
          <w:lang w:val="de-DE"/>
        </w:rPr>
      </w:pPr>
      <w:r w:rsidRPr="005A0B0A">
        <w:rPr>
          <w:b/>
          <w:bCs/>
          <w:sz w:val="36"/>
          <w:szCs w:val="36"/>
          <w:lang w:val="de-DE"/>
        </w:rPr>
        <w:t>Climate Box</w:t>
      </w:r>
    </w:p>
    <w:p w:rsidR="00984247" w:rsidRPr="00D22E3D" w:rsidRDefault="00D22E3D" w:rsidP="00984247">
      <w:pPr>
        <w:spacing w:after="0"/>
        <w:jc w:val="center"/>
        <w:rPr>
          <w:b/>
          <w:bCs/>
          <w:sz w:val="36"/>
          <w:szCs w:val="36"/>
          <w:lang w:val="de-DE"/>
        </w:rPr>
      </w:pPr>
      <w:r w:rsidRPr="00D22E3D">
        <w:rPr>
          <w:b/>
          <w:bCs/>
          <w:sz w:val="36"/>
          <w:szCs w:val="36"/>
          <w:lang w:val="de-DE"/>
        </w:rPr>
        <w:t>Lernaktivitäten</w:t>
      </w:r>
      <w:r w:rsidR="00984247" w:rsidRPr="00D22E3D">
        <w:rPr>
          <w:b/>
          <w:bCs/>
          <w:sz w:val="36"/>
          <w:szCs w:val="36"/>
          <w:lang w:val="de-DE"/>
        </w:rPr>
        <w:t xml:space="preserve"> </w:t>
      </w:r>
      <w:r w:rsidR="00E22324" w:rsidRPr="00D22E3D">
        <w:rPr>
          <w:b/>
          <w:bCs/>
          <w:sz w:val="36"/>
          <w:szCs w:val="36"/>
          <w:lang w:val="de-DE"/>
        </w:rPr>
        <w:t>–</w:t>
      </w:r>
      <w:r w:rsidR="00984247" w:rsidRPr="00D22E3D">
        <w:rPr>
          <w:b/>
          <w:bCs/>
          <w:sz w:val="36"/>
          <w:szCs w:val="36"/>
          <w:lang w:val="de-DE"/>
        </w:rPr>
        <w:t xml:space="preserve"> </w:t>
      </w:r>
      <w:r w:rsidR="00E22324" w:rsidRPr="00D22E3D">
        <w:rPr>
          <w:b/>
          <w:bCs/>
          <w:sz w:val="36"/>
          <w:szCs w:val="36"/>
          <w:lang w:val="de-DE"/>
        </w:rPr>
        <w:t xml:space="preserve">Modul </w:t>
      </w:r>
      <w:r w:rsidR="00690E18">
        <w:rPr>
          <w:b/>
          <w:bCs/>
          <w:sz w:val="36"/>
          <w:szCs w:val="36"/>
          <w:lang w:val="de-DE"/>
        </w:rPr>
        <w:t>6</w:t>
      </w:r>
    </w:p>
    <w:p w:rsidR="00984247" w:rsidRPr="00D22E3D" w:rsidRDefault="00D22E3D" w:rsidP="00984247">
      <w:pPr>
        <w:spacing w:after="0"/>
        <w:jc w:val="center"/>
        <w:rPr>
          <w:sz w:val="24"/>
          <w:szCs w:val="24"/>
          <w:lang w:val="de-DE"/>
        </w:rPr>
      </w:pPr>
      <w:r w:rsidRPr="00D22E3D">
        <w:rPr>
          <w:sz w:val="24"/>
          <w:szCs w:val="24"/>
          <w:lang w:val="de-DE"/>
        </w:rPr>
        <w:t>Projek</w:t>
      </w:r>
      <w:r w:rsidR="00984247" w:rsidRPr="00D22E3D">
        <w:rPr>
          <w:sz w:val="24"/>
          <w:szCs w:val="24"/>
          <w:lang w:val="de-DE"/>
        </w:rPr>
        <w:t>t Nr. 2020-1-DE02-KA204-007443</w:t>
      </w:r>
    </w:p>
    <w:p w:rsidR="00984247" w:rsidRPr="00D22E3D" w:rsidRDefault="00984247">
      <w:pPr>
        <w:rPr>
          <w:lang w:val="de-DE"/>
        </w:rPr>
      </w:pPr>
    </w:p>
    <w:p w:rsidR="00984247" w:rsidRPr="00D22E3D" w:rsidRDefault="00984247">
      <w:pPr>
        <w:rPr>
          <w:lang w:val="de-DE"/>
        </w:rPr>
      </w:pPr>
    </w:p>
    <w:p w:rsidR="00984247" w:rsidRPr="00D22E3D" w:rsidRDefault="00984247">
      <w:pPr>
        <w:rPr>
          <w:lang w:val="de-DE"/>
        </w:rPr>
      </w:pPr>
    </w:p>
    <w:p w:rsidR="00D32406" w:rsidRPr="00D22E3D" w:rsidRDefault="00D32406" w:rsidP="00984247">
      <w:pPr>
        <w:jc w:val="center"/>
        <w:rPr>
          <w:color w:val="FF0000"/>
          <w:lang w:val="de-DE"/>
        </w:rPr>
      </w:pPr>
    </w:p>
    <w:p w:rsidR="00FD6A1D" w:rsidRPr="00D22E3D" w:rsidRDefault="00FD6A1D" w:rsidP="00984247">
      <w:pPr>
        <w:jc w:val="center"/>
        <w:rPr>
          <w:lang w:val="de-DE"/>
        </w:rPr>
      </w:pPr>
    </w:p>
    <w:p w:rsidR="00D32406" w:rsidRPr="00D22E3D" w:rsidRDefault="00D32406" w:rsidP="00984247">
      <w:pPr>
        <w:jc w:val="center"/>
        <w:rPr>
          <w:lang w:val="de-DE"/>
        </w:rPr>
      </w:pPr>
    </w:p>
    <w:p w:rsidR="00D32406" w:rsidRPr="00D22E3D" w:rsidRDefault="00D32406" w:rsidP="00984247">
      <w:pPr>
        <w:jc w:val="center"/>
        <w:rPr>
          <w:lang w:val="de-DE"/>
        </w:rPr>
      </w:pPr>
    </w:p>
    <w:p w:rsidR="00D32406" w:rsidRPr="00D22E3D" w:rsidRDefault="00D32406" w:rsidP="00984247">
      <w:pPr>
        <w:jc w:val="center"/>
        <w:rPr>
          <w:lang w:val="de-DE"/>
        </w:rPr>
      </w:pPr>
    </w:p>
    <w:p w:rsidR="00D32406" w:rsidRPr="00D22E3D" w:rsidRDefault="00D32406" w:rsidP="00984247">
      <w:pPr>
        <w:jc w:val="center"/>
        <w:rPr>
          <w:lang w:val="de-DE"/>
        </w:rPr>
      </w:pPr>
    </w:p>
    <w:p w:rsidR="00D32406" w:rsidRPr="00D22E3D" w:rsidRDefault="00D32406" w:rsidP="00984247">
      <w:pPr>
        <w:jc w:val="center"/>
        <w:rPr>
          <w:lang w:val="de-DE"/>
        </w:rPr>
      </w:pPr>
    </w:p>
    <w:p w:rsidR="00D32406" w:rsidRPr="00D22E3D" w:rsidRDefault="00D32406" w:rsidP="00984247">
      <w:pPr>
        <w:jc w:val="center"/>
        <w:rPr>
          <w:lang w:val="de-DE"/>
        </w:rPr>
      </w:pPr>
    </w:p>
    <w:p w:rsidR="00D32406" w:rsidRPr="00D22E3D" w:rsidRDefault="00D22E3D" w:rsidP="00984247">
      <w:pPr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2509520</wp:posOffset>
            </wp:positionH>
            <wp:positionV relativeFrom="paragraph">
              <wp:posOffset>50800</wp:posOffset>
            </wp:positionV>
            <wp:extent cx="827405" cy="294005"/>
            <wp:effectExtent l="1905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247" w:rsidRPr="00D22E3D" w:rsidRDefault="00984247" w:rsidP="00A03390">
      <w:pPr>
        <w:rPr>
          <w:lang w:val="de-DE"/>
        </w:rPr>
      </w:pPr>
      <w:r w:rsidRPr="00D22E3D">
        <w:rPr>
          <w:lang w:val="de-DE"/>
        </w:rPr>
        <w:br w:type="page"/>
      </w:r>
    </w:p>
    <w:p w:rsidR="00E22324" w:rsidRPr="00690E18" w:rsidRDefault="00690E18" w:rsidP="00E22324">
      <w:pPr>
        <w:pStyle w:val="berschrift1"/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</w:pBdr>
        <w:shd w:val="clear" w:color="auto" w:fill="00BEC6"/>
        <w:jc w:val="center"/>
        <w:rPr>
          <w:b/>
          <w:bCs/>
          <w:color w:val="FFFFFF" w:themeColor="background1"/>
          <w:sz w:val="36"/>
          <w:szCs w:val="36"/>
          <w:lang w:val="de-DE"/>
        </w:rPr>
      </w:pPr>
      <w:r w:rsidRPr="00690E18">
        <w:rPr>
          <w:b/>
          <w:bCs/>
          <w:color w:val="FFFFFF" w:themeColor="background1"/>
          <w:sz w:val="36"/>
          <w:szCs w:val="36"/>
          <w:lang w:val="de-DE"/>
        </w:rPr>
        <w:lastRenderedPageBreak/>
        <w:t>Spielregeln M6-U2-A1</w:t>
      </w:r>
    </w:p>
    <w:p w:rsidR="00E22324" w:rsidRPr="00690E18" w:rsidRDefault="00E22324" w:rsidP="00C457FF">
      <w:pPr>
        <w:jc w:val="both"/>
        <w:rPr>
          <w:lang w:val="de-DE"/>
        </w:rPr>
      </w:pPr>
    </w:p>
    <w:p w:rsidR="00C457FF" w:rsidRDefault="00C457FF" w:rsidP="00C457FF">
      <w:pPr>
        <w:spacing w:line="360" w:lineRule="auto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Verhandlungen zwischen den Akteuren: Jetzt geht es darum geschickt zu verhandeln und die anderen Akteure davon zu überzeugen, dass Sie ihren Forderungen nachkommen sollen</w:t>
      </w:r>
    </w:p>
    <w:p w:rsidR="00C457FF" w:rsidRPr="00C457FF" w:rsidRDefault="00C457FF" w:rsidP="00C457FF">
      <w:p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>Ziel ist es, dass jeder Akteur die anderen</w:t>
      </w:r>
      <w:r>
        <w:rPr>
          <w:noProof/>
          <w:lang w:val="de-DE" w:eastAsia="de-DE"/>
        </w:rPr>
        <w:t xml:space="preserve"> Akteure dazu bringt, </w:t>
      </w:r>
      <w:r w:rsidR="00AD45F8">
        <w:rPr>
          <w:noProof/>
          <w:lang w:val="de-DE" w:eastAsia="de-DE"/>
        </w:rPr>
        <w:t>die eigenen</w:t>
      </w:r>
      <w:r>
        <w:rPr>
          <w:noProof/>
          <w:lang w:val="de-DE" w:eastAsia="de-DE"/>
        </w:rPr>
        <w:t xml:space="preserve"> For</w:t>
      </w:r>
      <w:r w:rsidRPr="00C457FF">
        <w:rPr>
          <w:noProof/>
          <w:lang w:val="de-DE" w:eastAsia="de-DE"/>
        </w:rPr>
        <w:t xml:space="preserve">derungen zu akzeptieren. </w:t>
      </w:r>
    </w:p>
    <w:p w:rsidR="00C457FF" w:rsidRPr="00C457FF" w:rsidRDefault="00C457FF" w:rsidP="00C457FF">
      <w:p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 xml:space="preserve">Der Verhandlungsprozess ist in 3 Runden unterteilt: </w:t>
      </w:r>
    </w:p>
    <w:p w:rsidR="00C457FF" w:rsidRPr="00C457FF" w:rsidRDefault="00C457FF" w:rsidP="00C457FF">
      <w:pPr>
        <w:pStyle w:val="Listenabsatz"/>
        <w:numPr>
          <w:ilvl w:val="0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>Runde 1</w:t>
      </w:r>
      <w:r w:rsidR="00AD45F8">
        <w:rPr>
          <w:noProof/>
          <w:lang w:val="de-DE" w:eastAsia="de-DE"/>
        </w:rPr>
        <w:t xml:space="preserve"> mit folgenden Verhandlungspaaren</w:t>
      </w:r>
      <w:r w:rsidRPr="00C457FF">
        <w:rPr>
          <w:noProof/>
          <w:lang w:val="de-DE" w:eastAsia="de-DE"/>
        </w:rPr>
        <w:t xml:space="preserve">: </w:t>
      </w:r>
    </w:p>
    <w:p w:rsidR="00C457FF" w:rsidRPr="00C457FF" w:rsidRDefault="00C457FF" w:rsidP="00C457FF">
      <w:pPr>
        <w:pStyle w:val="Listenabsatz"/>
        <w:numPr>
          <w:ilvl w:val="1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 xml:space="preserve">Bürger*innen und NROs. </w:t>
      </w:r>
    </w:p>
    <w:p w:rsidR="00C457FF" w:rsidRPr="00C457FF" w:rsidRDefault="00C457FF" w:rsidP="00C457FF">
      <w:pPr>
        <w:pStyle w:val="Listenabsatz"/>
        <w:numPr>
          <w:ilvl w:val="1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 xml:space="preserve">Medien und die Regierung. </w:t>
      </w:r>
    </w:p>
    <w:p w:rsidR="00C457FF" w:rsidRPr="00C457FF" w:rsidRDefault="00C457FF" w:rsidP="00C457FF">
      <w:pPr>
        <w:pStyle w:val="Listenabsatz"/>
        <w:spacing w:line="360" w:lineRule="auto"/>
        <w:jc w:val="both"/>
        <w:rPr>
          <w:noProof/>
          <w:lang w:val="de-DE" w:eastAsia="de-DE"/>
        </w:rPr>
      </w:pPr>
    </w:p>
    <w:p w:rsidR="00C457FF" w:rsidRPr="00C457FF" w:rsidRDefault="00C457FF" w:rsidP="00C457FF">
      <w:pPr>
        <w:pStyle w:val="Listenabsatz"/>
        <w:numPr>
          <w:ilvl w:val="0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>-Runde 2</w:t>
      </w:r>
      <w:r w:rsidR="00AD45F8">
        <w:rPr>
          <w:noProof/>
          <w:lang w:val="de-DE" w:eastAsia="de-DE"/>
        </w:rPr>
        <w:t xml:space="preserve"> mit folgenden Verhandlungspaaren</w:t>
      </w:r>
      <w:r w:rsidRPr="00C457FF">
        <w:rPr>
          <w:noProof/>
          <w:lang w:val="de-DE" w:eastAsia="de-DE"/>
        </w:rPr>
        <w:t xml:space="preserve">: </w:t>
      </w:r>
    </w:p>
    <w:p w:rsidR="00C457FF" w:rsidRPr="00C457FF" w:rsidRDefault="00C457FF" w:rsidP="00C457FF">
      <w:pPr>
        <w:pStyle w:val="Listenabsatz"/>
        <w:numPr>
          <w:ilvl w:val="1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 xml:space="preserve">Bürger*innen und Medien. </w:t>
      </w:r>
    </w:p>
    <w:p w:rsidR="00C457FF" w:rsidRPr="00C457FF" w:rsidRDefault="00C457FF" w:rsidP="00C457FF">
      <w:pPr>
        <w:pStyle w:val="Listenabsatz"/>
        <w:numPr>
          <w:ilvl w:val="1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>NROs und die Regierung.</w:t>
      </w:r>
    </w:p>
    <w:p w:rsidR="00C457FF" w:rsidRPr="00C457FF" w:rsidRDefault="00C457FF" w:rsidP="00C457FF">
      <w:pPr>
        <w:pStyle w:val="Listenabsatz"/>
        <w:spacing w:line="360" w:lineRule="auto"/>
        <w:jc w:val="both"/>
        <w:rPr>
          <w:noProof/>
          <w:lang w:val="de-DE" w:eastAsia="de-DE"/>
        </w:rPr>
      </w:pPr>
    </w:p>
    <w:p w:rsidR="00C457FF" w:rsidRPr="00C457FF" w:rsidRDefault="00C457FF" w:rsidP="00C457FF">
      <w:pPr>
        <w:pStyle w:val="Listenabsatz"/>
        <w:numPr>
          <w:ilvl w:val="0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>-Runde 3</w:t>
      </w:r>
      <w:r w:rsidR="00AD45F8">
        <w:rPr>
          <w:noProof/>
          <w:lang w:val="de-DE" w:eastAsia="de-DE"/>
        </w:rPr>
        <w:t xml:space="preserve"> mit folgenden Verhandlungspaaren</w:t>
      </w:r>
      <w:r w:rsidRPr="00C457FF">
        <w:rPr>
          <w:noProof/>
          <w:lang w:val="de-DE" w:eastAsia="de-DE"/>
        </w:rPr>
        <w:t xml:space="preserve">: </w:t>
      </w:r>
    </w:p>
    <w:p w:rsidR="00C457FF" w:rsidRPr="00C457FF" w:rsidRDefault="00C457FF" w:rsidP="00C457FF">
      <w:pPr>
        <w:pStyle w:val="Listenabsatz"/>
        <w:numPr>
          <w:ilvl w:val="1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>Bürger*innen und die Regierung.</w:t>
      </w:r>
    </w:p>
    <w:p w:rsidR="00C457FF" w:rsidRPr="00C457FF" w:rsidRDefault="00C457FF" w:rsidP="00C457FF">
      <w:pPr>
        <w:pStyle w:val="Listenabsatz"/>
        <w:numPr>
          <w:ilvl w:val="1"/>
          <w:numId w:val="12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>Medien und NROs.</w:t>
      </w:r>
    </w:p>
    <w:p w:rsidR="00C457FF" w:rsidRPr="00C457FF" w:rsidRDefault="00C457FF" w:rsidP="00C457FF">
      <w:pPr>
        <w:pStyle w:val="Listenabsatz"/>
        <w:spacing w:line="360" w:lineRule="auto"/>
        <w:jc w:val="both"/>
        <w:rPr>
          <w:noProof/>
          <w:lang w:val="de-DE" w:eastAsia="de-DE"/>
        </w:rPr>
      </w:pPr>
    </w:p>
    <w:p w:rsidR="00C457FF" w:rsidRPr="00ED465E" w:rsidRDefault="00ED465E" w:rsidP="00ED465E">
      <w:pPr>
        <w:pStyle w:val="Listenabsatz"/>
        <w:numPr>
          <w:ilvl w:val="0"/>
          <w:numId w:val="13"/>
        </w:numPr>
        <w:spacing w:line="360" w:lineRule="auto"/>
        <w:jc w:val="both"/>
        <w:rPr>
          <w:noProof/>
          <w:lang w:val="de-DE" w:eastAsia="de-DE"/>
        </w:rPr>
      </w:pPr>
      <w:r w:rsidRPr="00ED465E">
        <w:rPr>
          <w:noProof/>
          <w:lang w:val="de-DE" w:eastAsia="de-DE"/>
        </w:rPr>
        <w:t xml:space="preserve">Entscheiden Sie, </w:t>
      </w:r>
      <w:r w:rsidR="00C457FF" w:rsidRPr="00ED465E">
        <w:rPr>
          <w:noProof/>
          <w:lang w:val="de-DE" w:eastAsia="de-DE"/>
        </w:rPr>
        <w:t xml:space="preserve">wer zuerst </w:t>
      </w:r>
      <w:r w:rsidRPr="00ED465E">
        <w:rPr>
          <w:noProof/>
          <w:lang w:val="de-DE" w:eastAsia="de-DE"/>
        </w:rPr>
        <w:t xml:space="preserve">seine </w:t>
      </w:r>
      <w:r w:rsidR="00C457FF" w:rsidRPr="00ED465E">
        <w:rPr>
          <w:noProof/>
          <w:lang w:val="de-DE" w:eastAsia="de-DE"/>
        </w:rPr>
        <w:t>Forderung</w:t>
      </w:r>
      <w:r w:rsidRPr="00ED465E">
        <w:rPr>
          <w:noProof/>
          <w:lang w:val="de-DE" w:eastAsia="de-DE"/>
        </w:rPr>
        <w:t xml:space="preserve">en stellt. Formulieren Sie Ihre </w:t>
      </w:r>
      <w:r w:rsidR="00C457FF" w:rsidRPr="00ED465E">
        <w:rPr>
          <w:noProof/>
          <w:lang w:val="de-DE" w:eastAsia="de-DE"/>
        </w:rPr>
        <w:t xml:space="preserve">Forderungen </w:t>
      </w:r>
      <w:r w:rsidRPr="00ED465E">
        <w:rPr>
          <w:noProof/>
          <w:lang w:val="de-DE" w:eastAsia="de-DE"/>
        </w:rPr>
        <w:t>klar und deutlich. Erklären Si</w:t>
      </w:r>
      <w:r w:rsidR="00C457FF" w:rsidRPr="00ED465E">
        <w:rPr>
          <w:noProof/>
          <w:lang w:val="de-DE" w:eastAsia="de-DE"/>
        </w:rPr>
        <w:t xml:space="preserve">e die Bedeutung Ihrer Forderung. Machen Sie deutlich, warum die Forderung für Sie wichtig ist, um Ihre Funktion zu erfüllen. </w:t>
      </w:r>
    </w:p>
    <w:p w:rsidR="00C457FF" w:rsidRPr="00ED465E" w:rsidRDefault="00C457FF" w:rsidP="00ED465E">
      <w:pPr>
        <w:pStyle w:val="Listenabsatz"/>
        <w:numPr>
          <w:ilvl w:val="0"/>
          <w:numId w:val="13"/>
        </w:numPr>
        <w:spacing w:line="360" w:lineRule="auto"/>
        <w:jc w:val="both"/>
        <w:rPr>
          <w:noProof/>
          <w:lang w:val="de-DE" w:eastAsia="de-DE"/>
        </w:rPr>
      </w:pPr>
      <w:r w:rsidRPr="00ED465E">
        <w:rPr>
          <w:noProof/>
          <w:lang w:val="de-DE" w:eastAsia="de-DE"/>
        </w:rPr>
        <w:t xml:space="preserve">Bei der Entscheidung über Annahme oder Ablehnung </w:t>
      </w:r>
      <w:r w:rsidRPr="00ED465E">
        <w:rPr>
          <w:noProof/>
          <w:lang w:val="de-DE" w:eastAsia="de-DE"/>
        </w:rPr>
        <w:t xml:space="preserve">einer Forderung sollten Sie sicher sein, dass Sie in der Lage sein werden, der Forderung auch wirklich nachzukommen bzw. die daran geknüpfte </w:t>
      </w:r>
      <w:r w:rsidRPr="00ED465E">
        <w:rPr>
          <w:noProof/>
          <w:lang w:val="de-DE" w:eastAsia="de-DE"/>
        </w:rPr>
        <w:t xml:space="preserve">Aufgabe </w:t>
      </w:r>
      <w:r w:rsidRPr="00ED465E">
        <w:rPr>
          <w:noProof/>
          <w:lang w:val="de-DE" w:eastAsia="de-DE"/>
        </w:rPr>
        <w:t xml:space="preserve">auch tatsächlich </w:t>
      </w:r>
      <w:r w:rsidRPr="00ED465E">
        <w:rPr>
          <w:noProof/>
          <w:lang w:val="de-DE" w:eastAsia="de-DE"/>
        </w:rPr>
        <w:t xml:space="preserve">zu erfüllen. </w:t>
      </w:r>
    </w:p>
    <w:p w:rsidR="00C457FF" w:rsidRPr="00C457FF" w:rsidRDefault="00C457FF" w:rsidP="00ED465E">
      <w:pPr>
        <w:pStyle w:val="Listenabsatz"/>
        <w:numPr>
          <w:ilvl w:val="0"/>
          <w:numId w:val="13"/>
        </w:numPr>
        <w:spacing w:line="360" w:lineRule="auto"/>
        <w:jc w:val="both"/>
        <w:rPr>
          <w:noProof/>
          <w:lang w:val="de-DE" w:eastAsia="de-DE"/>
        </w:rPr>
      </w:pPr>
      <w:r w:rsidRPr="00C457FF">
        <w:rPr>
          <w:noProof/>
          <w:lang w:val="de-DE" w:eastAsia="de-DE"/>
        </w:rPr>
        <w:t>Wenn eine Forderung akzeptiert wird, nehmen d</w:t>
      </w:r>
      <w:r w:rsidR="00ED465E">
        <w:rPr>
          <w:noProof/>
          <w:lang w:val="de-DE" w:eastAsia="de-DE"/>
        </w:rPr>
        <w:t>ie Akteure einen der Fäden des „</w:t>
      </w:r>
      <w:r w:rsidRPr="00C457FF">
        <w:rPr>
          <w:noProof/>
          <w:lang w:val="de-DE" w:eastAsia="de-DE"/>
        </w:rPr>
        <w:t>Forderers" und kleben ihn</w:t>
      </w:r>
      <w:r w:rsidR="00ED465E">
        <w:rPr>
          <w:noProof/>
          <w:lang w:val="de-DE" w:eastAsia="de-DE"/>
        </w:rPr>
        <w:t xml:space="preserve"> als Zeichen der Zustimmung zwischen die beiden „</w:t>
      </w:r>
      <w:r w:rsidRPr="00C457FF">
        <w:rPr>
          <w:noProof/>
          <w:lang w:val="de-DE" w:eastAsia="de-DE"/>
        </w:rPr>
        <w:t>Protokollblätter</w:t>
      </w:r>
      <w:r w:rsidR="00ED465E">
        <w:rPr>
          <w:noProof/>
          <w:lang w:val="de-DE" w:eastAsia="de-DE"/>
        </w:rPr>
        <w:t>“</w:t>
      </w:r>
      <w:r w:rsidRPr="00C457FF">
        <w:rPr>
          <w:noProof/>
          <w:lang w:val="de-DE" w:eastAsia="de-DE"/>
        </w:rPr>
        <w:t xml:space="preserve">. Eine kurze </w:t>
      </w:r>
      <w:r w:rsidR="00ED465E">
        <w:rPr>
          <w:noProof/>
          <w:lang w:val="de-DE" w:eastAsia="de-DE"/>
        </w:rPr>
        <w:t>Notiz mit blauem Stift auf dem „</w:t>
      </w:r>
      <w:r w:rsidRPr="00C457FF">
        <w:rPr>
          <w:noProof/>
          <w:lang w:val="de-DE" w:eastAsia="de-DE"/>
        </w:rPr>
        <w:t>Protokollblatt</w:t>
      </w:r>
      <w:r w:rsidR="00ED465E">
        <w:rPr>
          <w:noProof/>
          <w:lang w:val="de-DE" w:eastAsia="de-DE"/>
        </w:rPr>
        <w:t>“</w:t>
      </w:r>
      <w:r w:rsidRPr="00C457FF">
        <w:rPr>
          <w:noProof/>
          <w:lang w:val="de-DE" w:eastAsia="de-DE"/>
        </w:rPr>
        <w:t xml:space="preserve"> sollte sie an </w:t>
      </w:r>
      <w:r w:rsidR="00ED465E">
        <w:rPr>
          <w:noProof/>
          <w:lang w:val="de-DE" w:eastAsia="de-DE"/>
        </w:rPr>
        <w:t>I</w:t>
      </w:r>
      <w:r w:rsidRPr="00C457FF">
        <w:rPr>
          <w:noProof/>
          <w:lang w:val="de-DE" w:eastAsia="de-DE"/>
        </w:rPr>
        <w:t xml:space="preserve">hre Verantwortung erinnern. </w:t>
      </w:r>
    </w:p>
    <w:p w:rsidR="00D4710B" w:rsidRPr="00D22E3D" w:rsidRDefault="00C457FF" w:rsidP="00ED465E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de-DE"/>
        </w:rPr>
      </w:pPr>
      <w:r w:rsidRPr="00ED465E">
        <w:rPr>
          <w:noProof/>
          <w:lang w:val="de-DE" w:eastAsia="de-DE"/>
        </w:rPr>
        <w:t>Am Ende des Prozesses wird eine Karte stehen, die die Beziehungen zwischen den verschiedenen Akteuren</w:t>
      </w:r>
      <w:r w:rsidR="00ED465E" w:rsidRPr="00ED465E">
        <w:rPr>
          <w:noProof/>
          <w:lang w:val="de-DE" w:eastAsia="de-DE"/>
        </w:rPr>
        <w:t xml:space="preserve"> bei der Schaffung einer umwelt</w:t>
      </w:r>
      <w:r w:rsidRPr="00ED465E">
        <w:rPr>
          <w:noProof/>
          <w:lang w:val="de-DE" w:eastAsia="de-DE"/>
        </w:rPr>
        <w:t>freundlichen Umgebung darstellt.</w:t>
      </w:r>
    </w:p>
    <w:sectPr w:rsidR="00D4710B" w:rsidRPr="00D22E3D" w:rsidSect="00AA074B">
      <w:head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D0" w:rsidRDefault="000B1CD0" w:rsidP="00AA074B">
      <w:pPr>
        <w:spacing w:after="0" w:line="240" w:lineRule="auto"/>
      </w:pPr>
      <w:r>
        <w:separator/>
      </w:r>
    </w:p>
  </w:endnote>
  <w:endnote w:type="continuationSeparator" w:id="0">
    <w:p w:rsidR="000B1CD0" w:rsidRDefault="000B1CD0" w:rsidP="00AA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0A" w:rsidRDefault="005A0B0A" w:rsidP="005A0B0A">
    <w:pPr>
      <w:pStyle w:val="Default"/>
      <w:jc w:val="center"/>
      <w:rPr>
        <w:noProof/>
        <w:sz w:val="18"/>
        <w:szCs w:val="18"/>
        <w:lang w:eastAsia="de-DE"/>
      </w:rPr>
    </w:pPr>
    <w:r w:rsidRPr="00AD46F6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-657451</wp:posOffset>
          </wp:positionV>
          <wp:extent cx="2040613" cy="556788"/>
          <wp:effectExtent l="19050" t="0" r="0" b="0"/>
          <wp:wrapNone/>
          <wp:docPr id="1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613" cy="556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46F6">
      <w:rPr>
        <w:noProof/>
        <w:sz w:val="18"/>
        <w:szCs w:val="18"/>
        <w:lang w:eastAsia="de-DE"/>
      </w:rPr>
      <w:t xml:space="preserve">Die Unterstützung der Europäischen Kommission für die Erstellung dieser Veröffentlichung stellt keine Billigung der </w:t>
    </w:r>
  </w:p>
  <w:p w:rsidR="005A0B0A" w:rsidRPr="00AD46F6" w:rsidRDefault="005A0B0A" w:rsidP="005A0B0A">
    <w:pPr>
      <w:pStyle w:val="Default"/>
      <w:jc w:val="center"/>
      <w:rPr>
        <w:rFonts w:asciiTheme="minorHAnsi" w:hAnsiTheme="minorHAnsi" w:cstheme="minorHAnsi"/>
        <w:i/>
        <w:iCs/>
        <w:sz w:val="18"/>
        <w:szCs w:val="18"/>
        <w:lang w:val="el-GR"/>
      </w:rPr>
    </w:pPr>
    <w:r w:rsidRPr="00AD46F6">
      <w:rPr>
        <w:noProof/>
        <w:sz w:val="18"/>
        <w:szCs w:val="18"/>
        <w:lang w:eastAsia="de-DE"/>
      </w:rPr>
      <w:t>Inhalte dar, die nur die Ansichten der Autoren widerspiegeln, und die Kommission kann nicht für die Verwendung der darin enthaltenen Informationen verantwortlich gemacht werden.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D0" w:rsidRDefault="000B1CD0" w:rsidP="00AA074B">
      <w:pPr>
        <w:spacing w:after="0" w:line="240" w:lineRule="auto"/>
      </w:pPr>
      <w:r>
        <w:separator/>
      </w:r>
    </w:p>
  </w:footnote>
  <w:footnote w:type="continuationSeparator" w:id="0">
    <w:p w:rsidR="000B1CD0" w:rsidRDefault="000B1CD0" w:rsidP="00AA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4B" w:rsidRPr="00D22E3D" w:rsidRDefault="0056676D" w:rsidP="0056676D">
    <w:pPr>
      <w:spacing w:after="0"/>
      <w:jc w:val="center"/>
      <w:rPr>
        <w:sz w:val="18"/>
        <w:szCs w:val="18"/>
        <w:lang w:val="pt-PT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-247488</wp:posOffset>
          </wp:positionV>
          <wp:extent cx="1095375" cy="63727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37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2E3D">
      <w:rPr>
        <w:sz w:val="18"/>
        <w:szCs w:val="18"/>
        <w:lang w:val="pt-PT"/>
      </w:rPr>
      <w:t>Climate Box</w:t>
    </w:r>
    <w:r w:rsidRPr="00D22E3D">
      <w:rPr>
        <w:sz w:val="18"/>
        <w:szCs w:val="18"/>
        <w:lang w:val="pt-PT"/>
      </w:rPr>
      <w:br/>
      <w:t>Proje</w:t>
    </w:r>
    <w:r w:rsidR="005A0B0A">
      <w:rPr>
        <w:sz w:val="18"/>
        <w:szCs w:val="18"/>
        <w:lang w:val="pt-PT"/>
      </w:rPr>
      <w:t>k</w:t>
    </w:r>
    <w:r w:rsidRPr="00D22E3D">
      <w:rPr>
        <w:sz w:val="18"/>
        <w:szCs w:val="18"/>
        <w:lang w:val="pt-PT"/>
      </w:rPr>
      <w:t>t Nr. 2020-1-DE02-KA204-007443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32"/>
    <w:multiLevelType w:val="hybridMultilevel"/>
    <w:tmpl w:val="A4747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84A"/>
    <w:multiLevelType w:val="hybridMultilevel"/>
    <w:tmpl w:val="09C8977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6BC4"/>
    <w:multiLevelType w:val="hybridMultilevel"/>
    <w:tmpl w:val="FAE0F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30E54"/>
    <w:multiLevelType w:val="hybridMultilevel"/>
    <w:tmpl w:val="CB145B9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1F31"/>
    <w:multiLevelType w:val="hybridMultilevel"/>
    <w:tmpl w:val="6D303E22"/>
    <w:lvl w:ilvl="0" w:tplc="836EA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65FFB"/>
    <w:multiLevelType w:val="hybridMultilevel"/>
    <w:tmpl w:val="61DA6C70"/>
    <w:lvl w:ilvl="0" w:tplc="27D45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50A40"/>
    <w:multiLevelType w:val="hybridMultilevel"/>
    <w:tmpl w:val="AEFCA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10F7E"/>
    <w:multiLevelType w:val="hybridMultilevel"/>
    <w:tmpl w:val="2A50ACB2"/>
    <w:lvl w:ilvl="0" w:tplc="AD809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5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0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CC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8E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42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1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C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360520"/>
    <w:multiLevelType w:val="hybridMultilevel"/>
    <w:tmpl w:val="9B06C78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13D6"/>
    <w:multiLevelType w:val="hybridMultilevel"/>
    <w:tmpl w:val="6D8E46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86F33"/>
    <w:multiLevelType w:val="hybridMultilevel"/>
    <w:tmpl w:val="7CC89E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35754"/>
    <w:multiLevelType w:val="hybridMultilevel"/>
    <w:tmpl w:val="F2CE6554"/>
    <w:lvl w:ilvl="0" w:tplc="E40C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62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4B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4E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2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8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65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20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CA18A9"/>
    <w:multiLevelType w:val="hybridMultilevel"/>
    <w:tmpl w:val="9ED60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3313"/>
    <w:rsid w:val="000B1CD0"/>
    <w:rsid w:val="000C55C9"/>
    <w:rsid w:val="001031FC"/>
    <w:rsid w:val="00111EDD"/>
    <w:rsid w:val="00151E22"/>
    <w:rsid w:val="00195413"/>
    <w:rsid w:val="001A7FD0"/>
    <w:rsid w:val="00291D57"/>
    <w:rsid w:val="002B351A"/>
    <w:rsid w:val="002C66F9"/>
    <w:rsid w:val="002E1733"/>
    <w:rsid w:val="00313B30"/>
    <w:rsid w:val="00320083"/>
    <w:rsid w:val="00333313"/>
    <w:rsid w:val="00376865"/>
    <w:rsid w:val="003F2863"/>
    <w:rsid w:val="003F7C02"/>
    <w:rsid w:val="00457695"/>
    <w:rsid w:val="00471402"/>
    <w:rsid w:val="004A73E0"/>
    <w:rsid w:val="004B2B99"/>
    <w:rsid w:val="004B65D2"/>
    <w:rsid w:val="004F58D8"/>
    <w:rsid w:val="00533F81"/>
    <w:rsid w:val="0056676D"/>
    <w:rsid w:val="005A021B"/>
    <w:rsid w:val="005A09E2"/>
    <w:rsid w:val="005A0B0A"/>
    <w:rsid w:val="005B44C0"/>
    <w:rsid w:val="006255A1"/>
    <w:rsid w:val="006640EC"/>
    <w:rsid w:val="00686192"/>
    <w:rsid w:val="00690E18"/>
    <w:rsid w:val="00691B71"/>
    <w:rsid w:val="006C3441"/>
    <w:rsid w:val="006D2882"/>
    <w:rsid w:val="00760503"/>
    <w:rsid w:val="00777916"/>
    <w:rsid w:val="007B3572"/>
    <w:rsid w:val="008367B3"/>
    <w:rsid w:val="008909DD"/>
    <w:rsid w:val="008947FF"/>
    <w:rsid w:val="008C40AC"/>
    <w:rsid w:val="008D7A29"/>
    <w:rsid w:val="00907C7F"/>
    <w:rsid w:val="00910842"/>
    <w:rsid w:val="0093112E"/>
    <w:rsid w:val="00984247"/>
    <w:rsid w:val="00A03390"/>
    <w:rsid w:val="00A210DD"/>
    <w:rsid w:val="00A40B04"/>
    <w:rsid w:val="00A411E7"/>
    <w:rsid w:val="00AA074B"/>
    <w:rsid w:val="00AA26B8"/>
    <w:rsid w:val="00AD45F8"/>
    <w:rsid w:val="00B42103"/>
    <w:rsid w:val="00B77533"/>
    <w:rsid w:val="00B95D72"/>
    <w:rsid w:val="00BC7E16"/>
    <w:rsid w:val="00BF0A56"/>
    <w:rsid w:val="00C331C7"/>
    <w:rsid w:val="00C364F3"/>
    <w:rsid w:val="00C457FF"/>
    <w:rsid w:val="00CC1802"/>
    <w:rsid w:val="00CD19C7"/>
    <w:rsid w:val="00CD33E4"/>
    <w:rsid w:val="00CF0B58"/>
    <w:rsid w:val="00CF46BD"/>
    <w:rsid w:val="00CF5E43"/>
    <w:rsid w:val="00D22E3D"/>
    <w:rsid w:val="00D32406"/>
    <w:rsid w:val="00D4710B"/>
    <w:rsid w:val="00DA117A"/>
    <w:rsid w:val="00E22324"/>
    <w:rsid w:val="00E86617"/>
    <w:rsid w:val="00EB7298"/>
    <w:rsid w:val="00ED465E"/>
    <w:rsid w:val="00F26EF3"/>
    <w:rsid w:val="00F413CC"/>
    <w:rsid w:val="00F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802"/>
  </w:style>
  <w:style w:type="paragraph" w:styleId="berschrift1">
    <w:name w:val="heading 1"/>
    <w:basedOn w:val="Standard"/>
    <w:next w:val="Standard"/>
    <w:link w:val="berschrift1Zchn"/>
    <w:uiPriority w:val="9"/>
    <w:qFormat/>
    <w:rsid w:val="00333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3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5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3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33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33F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74B"/>
  </w:style>
  <w:style w:type="paragraph" w:styleId="Fuzeile">
    <w:name w:val="footer"/>
    <w:basedOn w:val="Standard"/>
    <w:link w:val="FuzeileZchn"/>
    <w:uiPriority w:val="99"/>
    <w:unhideWhenUsed/>
    <w:rsid w:val="00AA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74B"/>
  </w:style>
  <w:style w:type="table" w:styleId="Tabellengitternetz">
    <w:name w:val="Table Grid"/>
    <w:basedOn w:val="NormaleTabelle"/>
    <w:uiPriority w:val="39"/>
    <w:rsid w:val="00A4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NormaleTabelle"/>
    <w:uiPriority w:val="49"/>
    <w:rsid w:val="00BC7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910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5E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3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32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A7FD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7F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B33A-C2AD-447F-B8F9-C811EC52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WanHee Kim</dc:creator>
  <cp:lastModifiedBy>Sabine Wiemann</cp:lastModifiedBy>
  <cp:revision>5</cp:revision>
  <cp:lastPrinted>2021-11-30T16:56:00Z</cp:lastPrinted>
  <dcterms:created xsi:type="dcterms:W3CDTF">2021-12-29T16:19:00Z</dcterms:created>
  <dcterms:modified xsi:type="dcterms:W3CDTF">2021-12-30T16:02:00Z</dcterms:modified>
</cp:coreProperties>
</file>